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5C7B8D10" w:rsidR="0075069C" w:rsidRPr="00572BF7" w:rsidRDefault="0075069C" w:rsidP="0037575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0F0D72">
        <w:rPr>
          <w:rFonts w:eastAsia="宋体"/>
          <w:lang w:eastAsia="zh-CN"/>
        </w:rPr>
        <w:t>1</w:t>
      </w:r>
      <w:r w:rsidR="000043D7">
        <w:rPr>
          <w:rFonts w:eastAsia="宋体"/>
          <w:lang w:eastAsia="zh-CN"/>
        </w:rPr>
        <w:t xml:space="preserve">1   </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0F0D72">
        <w:rPr>
          <w:rFonts w:eastAsia="宋体"/>
          <w:lang w:eastAsia="zh-CN"/>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251009">
        <w:rPr>
          <w:rFonts w:eastAsia="宋体"/>
          <w:lang w:eastAsia="zh-CN"/>
        </w:rPr>
        <w:t xml:space="preserve">        </w:t>
      </w:r>
      <w:r w:rsidR="00903973" w:rsidRPr="00903973">
        <w:t>R4-230</w:t>
      </w:r>
      <w:r w:rsidR="00E757BD">
        <w:t>7614</w:t>
      </w:r>
      <w:bookmarkStart w:id="2" w:name="_GoBack"/>
      <w:bookmarkEnd w:id="2"/>
    </w:p>
    <w:p w14:paraId="300D35F5" w14:textId="77777777" w:rsidR="00EC054E" w:rsidRPr="00444A16" w:rsidRDefault="00EC054E" w:rsidP="00EC054E">
      <w:pPr>
        <w:pStyle w:val="afb"/>
        <w:jc w:val="both"/>
        <w:rPr>
          <w:rFonts w:eastAsia="宋体"/>
          <w:lang w:eastAsia="zh-CN"/>
        </w:rPr>
      </w:pPr>
      <w:r w:rsidRPr="00D17AD0">
        <w:rPr>
          <w:rFonts w:eastAsia="宋体" w:cs="Arial"/>
          <w:sz w:val="24"/>
          <w:szCs w:val="24"/>
          <w:lang w:eastAsia="zh-CN"/>
        </w:rPr>
        <w:t>Fukuoka, Japan, May 20 – 24, 2024</w:t>
      </w:r>
    </w:p>
    <w:p w14:paraId="1B5C2780" w14:textId="77777777" w:rsidR="00F71A33" w:rsidRPr="00F71A33" w:rsidRDefault="00F71A33" w:rsidP="0037575E">
      <w:pPr>
        <w:pStyle w:val="afb"/>
        <w:jc w:val="both"/>
        <w:rPr>
          <w:rFonts w:eastAsia="宋体"/>
          <w:lang w:eastAsia="zh-CN"/>
        </w:rPr>
      </w:pPr>
    </w:p>
    <w:p w14:paraId="396411D9" w14:textId="77777777" w:rsidR="00911C40" w:rsidRPr="00F26092" w:rsidRDefault="00911C40" w:rsidP="0037575E">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00513017" w:rsidR="00911C40" w:rsidRPr="003044DD" w:rsidRDefault="00911C40" w:rsidP="0037575E">
      <w:pPr>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433F59" w:rsidRPr="00433F59">
        <w:rPr>
          <w:rFonts w:ascii="Arial" w:hAnsi="Arial" w:cs="Arial"/>
        </w:rPr>
        <w:t xml:space="preserve">On Rx requirements for </w:t>
      </w:r>
      <w:proofErr w:type="spellStart"/>
      <w:r w:rsidR="00433F59" w:rsidRPr="00433F59">
        <w:rPr>
          <w:rFonts w:ascii="Arial" w:hAnsi="Arial" w:cs="Arial"/>
        </w:rPr>
        <w:t>sidelink</w:t>
      </w:r>
      <w:proofErr w:type="spellEnd"/>
      <w:r w:rsidR="00433F59" w:rsidRPr="00433F59">
        <w:rPr>
          <w:rFonts w:ascii="Arial" w:hAnsi="Arial" w:cs="Arial"/>
        </w:rPr>
        <w:t xml:space="preserve"> intra-band non-contiguous CA in PC3 and PC2 in Rel-19</w:t>
      </w:r>
    </w:p>
    <w:p w14:paraId="535E320E" w14:textId="34135EC0" w:rsidR="00911C40" w:rsidRPr="0022403E" w:rsidRDefault="00911C40" w:rsidP="0037575E">
      <w:pPr>
        <w:ind w:left="1985" w:hanging="1985"/>
        <w:jc w:val="both"/>
        <w:rPr>
          <w:rFonts w:ascii="Arial" w:hAnsi="Arial" w:cs="Arial"/>
        </w:rPr>
      </w:pPr>
      <w:r>
        <w:rPr>
          <w:rFonts w:ascii="Arial" w:hAnsi="Arial" w:cs="Arial" w:hint="eastAsia"/>
          <w:b/>
        </w:rPr>
        <w:t>Agenda Item:</w:t>
      </w:r>
      <w:r>
        <w:rPr>
          <w:rFonts w:ascii="Arial" w:hAnsi="Arial" w:cs="Arial" w:hint="eastAsia"/>
        </w:rPr>
        <w:tab/>
      </w:r>
      <w:r w:rsidR="00863D98" w:rsidRPr="00863D98">
        <w:rPr>
          <w:rFonts w:ascii="Arial" w:hAnsi="Arial" w:cs="Arial"/>
        </w:rPr>
        <w:t>10.9.2.3</w:t>
      </w:r>
      <w:r w:rsidR="00000F05" w:rsidRPr="00000F05">
        <w:rPr>
          <w:rFonts w:ascii="Arial" w:hAnsi="Arial" w:cs="Arial"/>
        </w:rPr>
        <w:tab/>
      </w:r>
    </w:p>
    <w:p w14:paraId="5FB329A9" w14:textId="77777777" w:rsidR="00911C40" w:rsidRPr="00A62DA7" w:rsidRDefault="00911C40" w:rsidP="0037575E">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37575E">
      <w:pPr>
        <w:pStyle w:val="1"/>
        <w:spacing w:after="240"/>
        <w:jc w:val="both"/>
        <w:rPr>
          <w:rFonts w:eastAsia="宋体"/>
          <w:lang w:eastAsia="zh-CN"/>
        </w:rPr>
      </w:pPr>
      <w:r>
        <w:rPr>
          <w:rFonts w:eastAsia="宋体" w:hint="eastAsia"/>
          <w:lang w:eastAsia="zh-CN"/>
        </w:rPr>
        <w:t>Introduction</w:t>
      </w:r>
    </w:p>
    <w:p w14:paraId="26668D5F" w14:textId="3C98F96B" w:rsidR="009A089A" w:rsidRPr="00EA4922" w:rsidRDefault="00E51E86" w:rsidP="0037575E">
      <w:pPr>
        <w:jc w:val="both"/>
        <w:rPr>
          <w:sz w:val="20"/>
        </w:rPr>
      </w:pPr>
      <w:r w:rsidRPr="00EA4922">
        <w:rPr>
          <w:sz w:val="20"/>
        </w:rPr>
        <w:t xml:space="preserve">The </w:t>
      </w:r>
      <w:r w:rsidR="008177ED">
        <w:rPr>
          <w:sz w:val="20"/>
        </w:rPr>
        <w:t xml:space="preserve">New </w:t>
      </w:r>
      <w:r w:rsidRPr="00EA4922">
        <w:rPr>
          <w:sz w:val="20"/>
        </w:rPr>
        <w:t>WID revision [1] was approved in RAN#</w:t>
      </w:r>
      <w:r w:rsidR="008177ED">
        <w:rPr>
          <w:sz w:val="20"/>
        </w:rPr>
        <w:t>103</w:t>
      </w:r>
      <w:r w:rsidRPr="00EA4922">
        <w:rPr>
          <w:sz w:val="20"/>
        </w:rPr>
        <w:t xml:space="preserve"> </w:t>
      </w:r>
      <w:r w:rsidR="00EF48A7" w:rsidRPr="00EA4922">
        <w:rPr>
          <w:sz w:val="20"/>
        </w:rPr>
        <w:t>with</w:t>
      </w:r>
      <w:r w:rsidRPr="00EA4922">
        <w:rPr>
          <w:sz w:val="20"/>
        </w:rPr>
        <w:t xml:space="preserve"> the scope for </w:t>
      </w:r>
      <w:proofErr w:type="spellStart"/>
      <w:r w:rsidR="00EF48A7" w:rsidRPr="00EA4922">
        <w:rPr>
          <w:sz w:val="20"/>
        </w:rPr>
        <w:t>sidelink</w:t>
      </w:r>
      <w:proofErr w:type="spellEnd"/>
      <w:r w:rsidR="00EF48A7" w:rsidRPr="00EA4922">
        <w:rPr>
          <w:sz w:val="20"/>
        </w:rPr>
        <w:t xml:space="preserve"> </w:t>
      </w:r>
      <w:r w:rsidR="00E45C10">
        <w:rPr>
          <w:sz w:val="20"/>
        </w:rPr>
        <w:t xml:space="preserve">contiguous and non-contiguous </w:t>
      </w:r>
      <w:r w:rsidR="00EF48A7" w:rsidRPr="00EA4922">
        <w:rPr>
          <w:sz w:val="20"/>
        </w:rPr>
        <w:t>CA operation in</w:t>
      </w:r>
      <w:r w:rsidRPr="00EA4922">
        <w:rPr>
          <w:sz w:val="20"/>
        </w:rPr>
        <w:t xml:space="preserve"> </w:t>
      </w:r>
      <w:r w:rsidR="00E45C10">
        <w:rPr>
          <w:sz w:val="20"/>
        </w:rPr>
        <w:t>ITS band</w:t>
      </w:r>
      <w:r w:rsidRPr="00EA4922">
        <w:rPr>
          <w:sz w:val="20"/>
        </w:rPr>
        <w:t xml:space="preserve">.  </w:t>
      </w:r>
    </w:p>
    <w:tbl>
      <w:tblPr>
        <w:tblStyle w:val="af8"/>
        <w:tblW w:w="0" w:type="auto"/>
        <w:tblLook w:val="04A0" w:firstRow="1" w:lastRow="0" w:firstColumn="1" w:lastColumn="0" w:noHBand="0" w:noVBand="1"/>
      </w:tblPr>
      <w:tblGrid>
        <w:gridCol w:w="9631"/>
      </w:tblGrid>
      <w:tr w:rsidR="00E51E86" w:rsidRPr="00EA4922" w14:paraId="013F31AB" w14:textId="77777777" w:rsidTr="00E51E86">
        <w:tc>
          <w:tcPr>
            <w:tcW w:w="9631" w:type="dxa"/>
          </w:tcPr>
          <w:p w14:paraId="3240AC49" w14:textId="77777777" w:rsidR="00E45C10" w:rsidRPr="00E45C10" w:rsidRDefault="00E45C10" w:rsidP="00E45C10">
            <w:pPr>
              <w:numPr>
                <w:ilvl w:val="0"/>
                <w:numId w:val="68"/>
              </w:numPr>
              <w:overflowPunct/>
              <w:autoSpaceDE/>
              <w:autoSpaceDN/>
              <w:adjustRightInd/>
              <w:spacing w:before="120" w:after="60" w:line="240" w:lineRule="auto"/>
              <w:contextualSpacing/>
              <w:textAlignment w:val="auto"/>
              <w:rPr>
                <w:rFonts w:ascii="Times" w:eastAsia="等线" w:hAnsi="Times"/>
                <w:sz w:val="20"/>
                <w:szCs w:val="24"/>
              </w:rPr>
            </w:pPr>
            <w:r w:rsidRPr="00E45C10">
              <w:rPr>
                <w:rFonts w:ascii="Times" w:eastAsia="等线" w:hAnsi="Times"/>
                <w:sz w:val="20"/>
                <w:szCs w:val="24"/>
              </w:rPr>
              <w:t xml:space="preserve">Specify the RF requirements for NR </w:t>
            </w:r>
            <w:proofErr w:type="spellStart"/>
            <w:r w:rsidRPr="00E45C10">
              <w:rPr>
                <w:rFonts w:ascii="Times" w:eastAsia="等线" w:hAnsi="Times"/>
                <w:sz w:val="20"/>
                <w:szCs w:val="24"/>
              </w:rPr>
              <w:t>sidelink</w:t>
            </w:r>
            <w:proofErr w:type="spellEnd"/>
            <w:r w:rsidRPr="00E45C10">
              <w:rPr>
                <w:rFonts w:ascii="Times" w:eastAsia="等线" w:hAnsi="Times"/>
                <w:sz w:val="20"/>
                <w:szCs w:val="24"/>
              </w:rPr>
              <w:t xml:space="preserve"> CA in n47:</w:t>
            </w:r>
          </w:p>
          <w:p w14:paraId="761E454E" w14:textId="77777777" w:rsidR="00E45C10" w:rsidRPr="00E45C10" w:rsidRDefault="00E45C10" w:rsidP="00E45C10">
            <w:pPr>
              <w:numPr>
                <w:ilvl w:val="1"/>
                <w:numId w:val="68"/>
              </w:numPr>
              <w:overflowPunct/>
              <w:autoSpaceDE/>
              <w:autoSpaceDN/>
              <w:adjustRightInd/>
              <w:spacing w:before="60" w:after="60" w:line="240" w:lineRule="auto"/>
              <w:contextualSpacing/>
              <w:textAlignment w:val="auto"/>
              <w:rPr>
                <w:rFonts w:ascii="Times" w:eastAsia="等线" w:hAnsi="Times"/>
                <w:sz w:val="20"/>
                <w:szCs w:val="24"/>
              </w:rPr>
            </w:pPr>
            <w:r w:rsidRPr="00E45C10">
              <w:rPr>
                <w:rFonts w:ascii="Times" w:eastAsia="等线" w:hAnsi="Times"/>
                <w:sz w:val="20"/>
                <w:szCs w:val="24"/>
              </w:rPr>
              <w:t>Intra-band non-contiguous CA with power class 2 and power class 3, with Component Carrier (CC) combinations 10MHz + 10MHz and 10MHz + 20MHz</w:t>
            </w:r>
          </w:p>
          <w:p w14:paraId="0255CAE9" w14:textId="77777777" w:rsidR="00E45C10" w:rsidRPr="00E45C10" w:rsidRDefault="00E45C10" w:rsidP="00E45C10">
            <w:pPr>
              <w:numPr>
                <w:ilvl w:val="1"/>
                <w:numId w:val="68"/>
              </w:numPr>
              <w:spacing w:line="240" w:lineRule="auto"/>
              <w:rPr>
                <w:rFonts w:ascii="Times" w:eastAsia="等线" w:hAnsi="Times"/>
                <w:sz w:val="20"/>
                <w:szCs w:val="24"/>
              </w:rPr>
            </w:pPr>
            <w:r w:rsidRPr="00E45C10">
              <w:rPr>
                <w:rFonts w:ascii="Times" w:eastAsia="等线" w:hAnsi="Times"/>
                <w:sz w:val="20"/>
                <w:szCs w:val="24"/>
              </w:rPr>
              <w:t>Intra-band contiguous CA with power class 2</w:t>
            </w:r>
          </w:p>
          <w:p w14:paraId="3055ECA4" w14:textId="77777777" w:rsidR="00E45C10" w:rsidRPr="00E45C10" w:rsidRDefault="00E45C10" w:rsidP="00E45C10">
            <w:pPr>
              <w:numPr>
                <w:ilvl w:val="0"/>
                <w:numId w:val="68"/>
              </w:numPr>
              <w:overflowPunct/>
              <w:autoSpaceDE/>
              <w:autoSpaceDN/>
              <w:adjustRightInd/>
              <w:spacing w:before="60" w:after="60" w:line="240" w:lineRule="auto"/>
              <w:contextualSpacing/>
              <w:textAlignment w:val="auto"/>
              <w:rPr>
                <w:rFonts w:ascii="Times" w:eastAsia="等线" w:hAnsi="Times"/>
                <w:sz w:val="20"/>
                <w:szCs w:val="24"/>
              </w:rPr>
            </w:pPr>
            <w:r w:rsidRPr="00E45C10">
              <w:rPr>
                <w:rFonts w:ascii="Times" w:eastAsia="等线" w:hAnsi="Times"/>
                <w:sz w:val="20"/>
                <w:szCs w:val="24"/>
              </w:rPr>
              <w:t xml:space="preserve">Introduce necessary changes for release independence specification, if identified </w:t>
            </w:r>
          </w:p>
          <w:p w14:paraId="6B64188F" w14:textId="77777777" w:rsidR="00E45C10" w:rsidRPr="00E45C10" w:rsidRDefault="00E45C10" w:rsidP="00E45C10">
            <w:pPr>
              <w:spacing w:after="0" w:line="240" w:lineRule="auto"/>
              <w:rPr>
                <w:rFonts w:eastAsia="Malgun Gothic"/>
                <w:bCs/>
                <w:sz w:val="20"/>
                <w:lang w:eastAsia="en-GB"/>
              </w:rPr>
            </w:pPr>
          </w:p>
          <w:p w14:paraId="7A0F13A4" w14:textId="77777777" w:rsidR="00E45C10" w:rsidRPr="00E45C10" w:rsidRDefault="00E45C10" w:rsidP="00E45C10">
            <w:pPr>
              <w:spacing w:after="0" w:line="240" w:lineRule="auto"/>
              <w:rPr>
                <w:rFonts w:eastAsia="Malgun Gothic"/>
                <w:bCs/>
                <w:sz w:val="20"/>
                <w:lang w:eastAsia="en-GB"/>
              </w:rPr>
            </w:pPr>
            <w:r w:rsidRPr="00E45C10">
              <w:rPr>
                <w:rFonts w:eastAsia="Malgun Gothic"/>
                <w:bCs/>
                <w:sz w:val="20"/>
                <w:lang w:eastAsia="en-GB"/>
              </w:rPr>
              <w:t>Note: Work for power class 3 starts first in RAN4. Whether there is any RRM core requirement to be specified will be confirmed in Q3 2024.</w:t>
            </w:r>
          </w:p>
          <w:p w14:paraId="27EE6FAE" w14:textId="3903F48A" w:rsidR="00E51E86" w:rsidRPr="00EA4922" w:rsidRDefault="00E51E86" w:rsidP="0037575E">
            <w:pPr>
              <w:spacing w:after="0"/>
              <w:jc w:val="both"/>
              <w:rPr>
                <w:sz w:val="20"/>
              </w:rPr>
            </w:pPr>
          </w:p>
        </w:tc>
      </w:tr>
    </w:tbl>
    <w:p w14:paraId="70611D39" w14:textId="39FC01FF" w:rsidR="00E51E86" w:rsidRPr="00EA4922" w:rsidRDefault="00A530D3" w:rsidP="006C2585">
      <w:pPr>
        <w:snapToGrid w:val="0"/>
        <w:spacing w:beforeLines="50" w:before="120" w:line="240" w:lineRule="auto"/>
        <w:jc w:val="both"/>
        <w:rPr>
          <w:sz w:val="20"/>
        </w:rPr>
      </w:pPr>
      <w:r w:rsidRPr="00EA4922">
        <w:rPr>
          <w:sz w:val="20"/>
        </w:rPr>
        <w:t xml:space="preserve">In this contribution, we provide our consideration and initial analysis on RAN4 work </w:t>
      </w:r>
      <w:r w:rsidR="009A67B2">
        <w:rPr>
          <w:sz w:val="20"/>
        </w:rPr>
        <w:t xml:space="preserve">on </w:t>
      </w:r>
      <w:r w:rsidR="009A67B2" w:rsidRPr="009A67B2">
        <w:rPr>
          <w:sz w:val="20"/>
        </w:rPr>
        <w:t xml:space="preserve">Rx requirements </w:t>
      </w:r>
      <w:r w:rsidRPr="00EA4922">
        <w:rPr>
          <w:sz w:val="20"/>
        </w:rPr>
        <w:t xml:space="preserve">for </w:t>
      </w:r>
      <w:r w:rsidR="00E45C10">
        <w:rPr>
          <w:sz w:val="20"/>
        </w:rPr>
        <w:t xml:space="preserve">NR </w:t>
      </w:r>
      <w:proofErr w:type="spellStart"/>
      <w:r w:rsidR="00E45C10">
        <w:rPr>
          <w:sz w:val="20"/>
        </w:rPr>
        <w:t>sidelink</w:t>
      </w:r>
      <w:proofErr w:type="spellEnd"/>
      <w:r w:rsidR="00E45C10">
        <w:rPr>
          <w:sz w:val="20"/>
        </w:rPr>
        <w:t xml:space="preserve"> i</w:t>
      </w:r>
      <w:r w:rsidR="00E45C10" w:rsidRPr="00E45C10">
        <w:rPr>
          <w:sz w:val="20"/>
        </w:rPr>
        <w:t xml:space="preserve">ntra-band </w:t>
      </w:r>
      <w:r w:rsidR="006C2585">
        <w:rPr>
          <w:sz w:val="20"/>
        </w:rPr>
        <w:t>non-</w:t>
      </w:r>
      <w:r w:rsidR="00E45C10" w:rsidRPr="00E45C10">
        <w:rPr>
          <w:sz w:val="20"/>
        </w:rPr>
        <w:t xml:space="preserve">contiguous CA with </w:t>
      </w:r>
      <w:r w:rsidR="006B6F09">
        <w:rPr>
          <w:sz w:val="20"/>
        </w:rPr>
        <w:t xml:space="preserve">power class 3 and </w:t>
      </w:r>
      <w:r w:rsidR="00E45C10" w:rsidRPr="00E45C10">
        <w:rPr>
          <w:sz w:val="20"/>
        </w:rPr>
        <w:t>power class 2</w:t>
      </w:r>
      <w:r w:rsidR="00DE3BF3">
        <w:rPr>
          <w:sz w:val="20"/>
        </w:rPr>
        <w:t xml:space="preserve">. </w:t>
      </w:r>
    </w:p>
    <w:p w14:paraId="58AB0513" w14:textId="77777777" w:rsidR="00062E8E" w:rsidRDefault="00062E8E" w:rsidP="0037575E">
      <w:pPr>
        <w:pStyle w:val="1"/>
        <w:spacing w:after="240"/>
        <w:jc w:val="both"/>
        <w:rPr>
          <w:rFonts w:eastAsia="宋体"/>
          <w:lang w:eastAsia="zh-CN"/>
        </w:rPr>
      </w:pPr>
      <w:r>
        <w:rPr>
          <w:rFonts w:eastAsia="宋体" w:hint="eastAsia"/>
          <w:lang w:eastAsia="zh-CN"/>
        </w:rPr>
        <w:t>Discussion</w:t>
      </w:r>
    </w:p>
    <w:p w14:paraId="310EBCF7" w14:textId="77777777" w:rsidR="002B3B35" w:rsidRDefault="001F7650" w:rsidP="00F15943">
      <w:pPr>
        <w:snapToGrid w:val="0"/>
        <w:spacing w:line="240" w:lineRule="auto"/>
        <w:jc w:val="both"/>
        <w:rPr>
          <w:sz w:val="20"/>
          <w:lang w:val="en-US"/>
        </w:rPr>
      </w:pPr>
      <w:r w:rsidRPr="00EA4922">
        <w:rPr>
          <w:sz w:val="20"/>
          <w:lang w:val="en-US"/>
        </w:rPr>
        <w:t xml:space="preserve">In </w:t>
      </w:r>
      <w:r w:rsidR="000A59F6" w:rsidRPr="00EA4922">
        <w:rPr>
          <w:sz w:val="20"/>
          <w:lang w:val="en-US"/>
        </w:rPr>
        <w:t xml:space="preserve">Rel-15 </w:t>
      </w:r>
      <w:r w:rsidRPr="00EA4922">
        <w:rPr>
          <w:sz w:val="20"/>
          <w:lang w:val="en-US"/>
        </w:rPr>
        <w:t>LTE</w:t>
      </w:r>
      <w:r w:rsidR="006A25D8" w:rsidRPr="00EA4922">
        <w:rPr>
          <w:sz w:val="20"/>
          <w:lang w:val="en-US"/>
        </w:rPr>
        <w:t xml:space="preserve"> V2X</w:t>
      </w:r>
      <w:r w:rsidRPr="00EA4922">
        <w:rPr>
          <w:sz w:val="20"/>
          <w:lang w:val="en-US"/>
        </w:rPr>
        <w:t xml:space="preserve">, the requirements of </w:t>
      </w:r>
      <w:r w:rsidR="006A25D8" w:rsidRPr="00EA4922">
        <w:rPr>
          <w:sz w:val="20"/>
          <w:lang w:val="en-US"/>
        </w:rPr>
        <w:t xml:space="preserve">intra-band contiguous </w:t>
      </w:r>
      <w:r w:rsidRPr="00EA4922">
        <w:rPr>
          <w:sz w:val="20"/>
          <w:lang w:val="en-US"/>
        </w:rPr>
        <w:t>multi</w:t>
      </w:r>
      <w:r w:rsidR="0051240A" w:rsidRPr="00EA4922">
        <w:rPr>
          <w:sz w:val="20"/>
          <w:lang w:val="en-US"/>
        </w:rPr>
        <w:t>-</w:t>
      </w:r>
      <w:r w:rsidRPr="00EA4922">
        <w:rPr>
          <w:sz w:val="20"/>
          <w:lang w:val="en-US"/>
        </w:rPr>
        <w:t>carrier</w:t>
      </w:r>
      <w:r w:rsidR="006A25D8" w:rsidRPr="00EA4922">
        <w:rPr>
          <w:sz w:val="20"/>
          <w:lang w:val="en-US"/>
        </w:rPr>
        <w:t xml:space="preserve"> operation bandwidth class B and class C</w:t>
      </w:r>
      <w:r w:rsidRPr="00EA4922">
        <w:rPr>
          <w:sz w:val="20"/>
          <w:lang w:val="en-US"/>
        </w:rPr>
        <w:t xml:space="preserve"> were defined </w:t>
      </w:r>
      <w:r w:rsidR="006A25D8" w:rsidRPr="00EA4922">
        <w:rPr>
          <w:sz w:val="20"/>
          <w:lang w:val="en-US"/>
        </w:rPr>
        <w:t xml:space="preserve">in </w:t>
      </w:r>
      <w:r w:rsidRPr="00EA4922">
        <w:rPr>
          <w:sz w:val="20"/>
          <w:lang w:val="en-US"/>
        </w:rPr>
        <w:t>addition</w:t>
      </w:r>
      <w:r w:rsidR="006A25D8" w:rsidRPr="00EA4922">
        <w:rPr>
          <w:sz w:val="20"/>
          <w:lang w:val="en-US"/>
        </w:rPr>
        <w:t xml:space="preserve"> to the single carrier V2X case</w:t>
      </w:r>
      <w:r w:rsidR="0051240A" w:rsidRPr="00EA4922">
        <w:rPr>
          <w:sz w:val="20"/>
          <w:lang w:val="en-US"/>
        </w:rPr>
        <w:t xml:space="preserve">. </w:t>
      </w:r>
      <w:r w:rsidR="00181E2D" w:rsidRPr="00EA4922">
        <w:rPr>
          <w:rFonts w:hint="eastAsia"/>
          <w:sz w:val="20"/>
          <w:lang w:val="en-US"/>
        </w:rPr>
        <w:t>I</w:t>
      </w:r>
      <w:r w:rsidR="00181E2D" w:rsidRPr="00EA4922">
        <w:rPr>
          <w:sz w:val="20"/>
          <w:lang w:val="en-US"/>
        </w:rPr>
        <w:t xml:space="preserve">t is noted that it is a full set of </w:t>
      </w:r>
      <w:proofErr w:type="spellStart"/>
      <w:r w:rsidR="00181E2D" w:rsidRPr="00EA4922">
        <w:rPr>
          <w:sz w:val="20"/>
          <w:lang w:val="en-US"/>
        </w:rPr>
        <w:t>Tx</w:t>
      </w:r>
      <w:proofErr w:type="spellEnd"/>
      <w:r w:rsidR="00181E2D" w:rsidRPr="00EA4922">
        <w:rPr>
          <w:sz w:val="20"/>
          <w:lang w:val="en-US"/>
        </w:rPr>
        <w:t xml:space="preserve"> and Rx requirements in order to support the multi-carrier operation. </w:t>
      </w:r>
    </w:p>
    <w:p w14:paraId="5210AFB4" w14:textId="4A6A62F2" w:rsidR="003A15FA" w:rsidRDefault="0051240A" w:rsidP="00F15943">
      <w:pPr>
        <w:snapToGrid w:val="0"/>
        <w:spacing w:line="240" w:lineRule="auto"/>
        <w:jc w:val="both"/>
        <w:rPr>
          <w:sz w:val="20"/>
          <w:lang w:val="en-US"/>
        </w:rPr>
      </w:pPr>
      <w:r w:rsidRPr="00EA4922">
        <w:rPr>
          <w:sz w:val="20"/>
          <w:lang w:val="en-US"/>
        </w:rPr>
        <w:t xml:space="preserve">Similarly, </w:t>
      </w:r>
      <w:r w:rsidR="00DE3BF3">
        <w:rPr>
          <w:sz w:val="20"/>
          <w:lang w:val="en-US"/>
        </w:rPr>
        <w:t xml:space="preserve">in Rel-18 </w:t>
      </w:r>
      <w:r w:rsidRPr="00EA4922">
        <w:rPr>
          <w:sz w:val="20"/>
          <w:lang w:val="en-US"/>
        </w:rPr>
        <w:t xml:space="preserve">the NR </w:t>
      </w:r>
      <w:proofErr w:type="spellStart"/>
      <w:r w:rsidRPr="00EA4922">
        <w:rPr>
          <w:sz w:val="20"/>
          <w:lang w:val="en-US"/>
        </w:rPr>
        <w:t>sidelink</w:t>
      </w:r>
      <w:proofErr w:type="spellEnd"/>
      <w:r w:rsidRPr="00EA4922">
        <w:rPr>
          <w:sz w:val="20"/>
          <w:lang w:val="en-US"/>
        </w:rPr>
        <w:t xml:space="preserve"> </w:t>
      </w:r>
      <w:r w:rsidR="00532A77">
        <w:rPr>
          <w:sz w:val="20"/>
          <w:lang w:val="en-US"/>
        </w:rPr>
        <w:t xml:space="preserve">intra-band </w:t>
      </w:r>
      <w:r w:rsidR="00240933">
        <w:rPr>
          <w:sz w:val="20"/>
          <w:lang w:val="en-US"/>
        </w:rPr>
        <w:t xml:space="preserve">contiguous </w:t>
      </w:r>
      <w:r w:rsidRPr="00EA4922">
        <w:rPr>
          <w:sz w:val="20"/>
          <w:lang w:val="en-US"/>
        </w:rPr>
        <w:t xml:space="preserve">CA operation </w:t>
      </w:r>
      <w:r w:rsidR="00DE3BF3">
        <w:rPr>
          <w:sz w:val="20"/>
          <w:lang w:val="en-US"/>
        </w:rPr>
        <w:t>with PC3 was</w:t>
      </w:r>
      <w:r w:rsidRPr="00EA4922">
        <w:rPr>
          <w:sz w:val="20"/>
          <w:lang w:val="en-US"/>
        </w:rPr>
        <w:t xml:space="preserve"> specified in RAN4, another set of requirements </w:t>
      </w:r>
      <w:r w:rsidR="00DE3BF3">
        <w:rPr>
          <w:sz w:val="20"/>
          <w:lang w:val="en-US"/>
        </w:rPr>
        <w:t>was</w:t>
      </w:r>
      <w:r w:rsidRPr="00EA4922">
        <w:rPr>
          <w:sz w:val="20"/>
          <w:lang w:val="en-US"/>
        </w:rPr>
        <w:t xml:space="preserve"> defined</w:t>
      </w:r>
      <w:r w:rsidR="006A25D8" w:rsidRPr="00EA4922">
        <w:rPr>
          <w:sz w:val="20"/>
          <w:lang w:val="en-US"/>
        </w:rPr>
        <w:t xml:space="preserve"> in addition to that of Rel-16/17 V2X/</w:t>
      </w:r>
      <w:proofErr w:type="spellStart"/>
      <w:r w:rsidR="006A25D8" w:rsidRPr="00EA4922">
        <w:rPr>
          <w:sz w:val="20"/>
          <w:lang w:val="en-US"/>
        </w:rPr>
        <w:t>Sidelink</w:t>
      </w:r>
      <w:proofErr w:type="spellEnd"/>
      <w:r w:rsidRPr="00EA4922">
        <w:rPr>
          <w:sz w:val="20"/>
          <w:lang w:val="en-US"/>
        </w:rPr>
        <w:t xml:space="preserve">. </w:t>
      </w:r>
    </w:p>
    <w:p w14:paraId="0020BE7E" w14:textId="031BBCA1" w:rsidR="003A15FA" w:rsidRPr="003A15FA" w:rsidRDefault="000A59F6" w:rsidP="005A6A77">
      <w:pPr>
        <w:snapToGrid w:val="0"/>
        <w:spacing w:after="0" w:line="240" w:lineRule="auto"/>
        <w:jc w:val="both"/>
        <w:rPr>
          <w:sz w:val="20"/>
        </w:rPr>
      </w:pPr>
      <w:r w:rsidRPr="00EA4922">
        <w:rPr>
          <w:sz w:val="20"/>
          <w:lang w:val="en-US"/>
        </w:rPr>
        <w:t xml:space="preserve">In the </w:t>
      </w:r>
      <w:r w:rsidR="00DE3BF3">
        <w:rPr>
          <w:sz w:val="20"/>
          <w:lang w:val="en-US"/>
        </w:rPr>
        <w:t xml:space="preserve">WID for </w:t>
      </w:r>
      <w:proofErr w:type="spellStart"/>
      <w:r w:rsidR="00DE3BF3">
        <w:rPr>
          <w:sz w:val="20"/>
          <w:lang w:val="en-US"/>
        </w:rPr>
        <w:t>sidelink</w:t>
      </w:r>
      <w:proofErr w:type="spellEnd"/>
      <w:r w:rsidR="00DE3BF3">
        <w:rPr>
          <w:sz w:val="20"/>
          <w:lang w:val="en-US"/>
        </w:rPr>
        <w:t xml:space="preserve"> CA,</w:t>
      </w:r>
      <w:r w:rsidRPr="00EA4922">
        <w:rPr>
          <w:sz w:val="20"/>
          <w:lang w:val="en-US"/>
        </w:rPr>
        <w:t xml:space="preserve"> intra-band </w:t>
      </w:r>
      <w:r w:rsidR="004022FB">
        <w:rPr>
          <w:sz w:val="20"/>
          <w:lang w:val="en-US"/>
        </w:rPr>
        <w:t>non-</w:t>
      </w:r>
      <w:r w:rsidRPr="00EA4922">
        <w:rPr>
          <w:sz w:val="20"/>
          <w:lang w:val="en-US"/>
        </w:rPr>
        <w:t>contiguous CA</w:t>
      </w:r>
      <w:r w:rsidR="00DE3BF3">
        <w:rPr>
          <w:sz w:val="20"/>
          <w:lang w:val="en-US"/>
        </w:rPr>
        <w:t xml:space="preserve"> with</w:t>
      </w:r>
      <w:r w:rsidR="004022FB">
        <w:rPr>
          <w:sz w:val="20"/>
          <w:lang w:val="en-US"/>
        </w:rPr>
        <w:t xml:space="preserve"> PC3 and</w:t>
      </w:r>
      <w:r w:rsidR="00DE3BF3">
        <w:rPr>
          <w:sz w:val="20"/>
          <w:lang w:val="en-US"/>
        </w:rPr>
        <w:t xml:space="preserve"> PC2</w:t>
      </w:r>
      <w:r w:rsidRPr="00EA4922">
        <w:rPr>
          <w:sz w:val="20"/>
          <w:lang w:val="en-US"/>
        </w:rPr>
        <w:t xml:space="preserve"> is to be considered.</w:t>
      </w:r>
      <w:r w:rsidR="00BB5404" w:rsidRPr="00EA4922">
        <w:rPr>
          <w:sz w:val="20"/>
          <w:lang w:val="en-US"/>
        </w:rPr>
        <w:t xml:space="preserve"> </w:t>
      </w:r>
      <w:r w:rsidR="00F15943">
        <w:rPr>
          <w:sz w:val="20"/>
        </w:rPr>
        <w:t>The work</w:t>
      </w:r>
      <w:r w:rsidR="000E07D5">
        <w:rPr>
          <w:sz w:val="20"/>
        </w:rPr>
        <w:t xml:space="preserve"> on Rx requirements</w:t>
      </w:r>
      <w:r w:rsidR="00F15943">
        <w:rPr>
          <w:sz w:val="20"/>
        </w:rPr>
        <w:t xml:space="preserve"> in Rel-19 would </w:t>
      </w:r>
      <w:r w:rsidR="00F15943" w:rsidRPr="003A15FA">
        <w:rPr>
          <w:sz w:val="20"/>
        </w:rPr>
        <w:t xml:space="preserve">include at least </w:t>
      </w:r>
    </w:p>
    <w:p w14:paraId="7B8DFCAD" w14:textId="292C35C4" w:rsidR="006A2E8F" w:rsidRDefault="006A2E8F" w:rsidP="006A2E8F">
      <w:pPr>
        <w:pStyle w:val="aff6"/>
        <w:numPr>
          <w:ilvl w:val="0"/>
          <w:numId w:val="69"/>
        </w:numPr>
        <w:ind w:firstLineChars="0"/>
        <w:rPr>
          <w:rFonts w:ascii="Times New Roman" w:hAnsi="Times New Roman"/>
          <w:sz w:val="20"/>
          <w:lang w:val="en-GB"/>
        </w:rPr>
      </w:pPr>
      <w:r>
        <w:rPr>
          <w:rFonts w:ascii="Times New Roman" w:hAnsi="Times New Roman"/>
          <w:sz w:val="20"/>
          <w:lang w:val="en-GB"/>
        </w:rPr>
        <w:t>R</w:t>
      </w:r>
      <w:r w:rsidRPr="006A2E8F">
        <w:rPr>
          <w:rFonts w:ascii="Times New Roman" w:hAnsi="Times New Roman"/>
          <w:sz w:val="20"/>
          <w:lang w:val="en-GB"/>
        </w:rPr>
        <w:t xml:space="preserve">x requirements mainly on </w:t>
      </w:r>
    </w:p>
    <w:p w14:paraId="3F209819" w14:textId="1C11E871" w:rsidR="006A2E8F" w:rsidRPr="006A2E8F" w:rsidRDefault="006A2E8F" w:rsidP="006A2E8F">
      <w:pPr>
        <w:pStyle w:val="aff6"/>
        <w:numPr>
          <w:ilvl w:val="1"/>
          <w:numId w:val="69"/>
        </w:numPr>
        <w:ind w:firstLineChars="0"/>
        <w:rPr>
          <w:rFonts w:ascii="Times New Roman" w:hAnsi="Times New Roman"/>
          <w:sz w:val="20"/>
          <w:lang w:val="en-GB"/>
        </w:rPr>
      </w:pPr>
      <w:r w:rsidRPr="006A2E8F">
        <w:rPr>
          <w:rFonts w:ascii="Times New Roman" w:hAnsi="Times New Roman"/>
          <w:sz w:val="20"/>
          <w:lang w:val="en-GB"/>
        </w:rPr>
        <w:t>REFSENS</w:t>
      </w:r>
    </w:p>
    <w:p w14:paraId="6077C4EE" w14:textId="57AA4326" w:rsidR="006A2E8F" w:rsidRPr="006A2E8F" w:rsidRDefault="006A2E8F" w:rsidP="006A2E8F">
      <w:pPr>
        <w:pStyle w:val="aff6"/>
        <w:numPr>
          <w:ilvl w:val="1"/>
          <w:numId w:val="69"/>
        </w:numPr>
        <w:ind w:firstLineChars="0"/>
        <w:rPr>
          <w:rFonts w:ascii="Times New Roman" w:hAnsi="Times New Roman"/>
          <w:sz w:val="20"/>
          <w:lang w:val="en-GB"/>
        </w:rPr>
      </w:pPr>
      <w:r w:rsidRPr="006A2E8F">
        <w:rPr>
          <w:rFonts w:ascii="Times New Roman" w:hAnsi="Times New Roman"/>
          <w:sz w:val="20"/>
          <w:lang w:val="en-GB"/>
        </w:rPr>
        <w:t>Maximum input level,</w:t>
      </w:r>
    </w:p>
    <w:p w14:paraId="2017587A" w14:textId="6DCAD419" w:rsidR="006A2E8F" w:rsidRDefault="006A2E8F" w:rsidP="006A2E8F">
      <w:pPr>
        <w:pStyle w:val="aff6"/>
        <w:numPr>
          <w:ilvl w:val="1"/>
          <w:numId w:val="69"/>
        </w:numPr>
        <w:ind w:firstLineChars="0"/>
        <w:rPr>
          <w:rFonts w:ascii="Times New Roman" w:hAnsi="Times New Roman"/>
          <w:sz w:val="20"/>
          <w:lang w:val="en-GB"/>
        </w:rPr>
      </w:pPr>
      <w:r w:rsidRPr="006A2E8F">
        <w:rPr>
          <w:rFonts w:ascii="Times New Roman" w:hAnsi="Times New Roman"/>
          <w:sz w:val="20"/>
          <w:lang w:val="en-GB"/>
        </w:rPr>
        <w:t>ACS locking</w:t>
      </w:r>
    </w:p>
    <w:p w14:paraId="53E1B9C5" w14:textId="652B5328" w:rsidR="00240933" w:rsidRDefault="00240933" w:rsidP="006A2E8F">
      <w:pPr>
        <w:pStyle w:val="aff6"/>
        <w:numPr>
          <w:ilvl w:val="1"/>
          <w:numId w:val="69"/>
        </w:numPr>
        <w:ind w:firstLineChars="0"/>
        <w:rPr>
          <w:rFonts w:ascii="Times New Roman" w:hAnsi="Times New Roman"/>
          <w:sz w:val="20"/>
          <w:lang w:val="en-GB"/>
        </w:rPr>
      </w:pPr>
      <w:r>
        <w:rPr>
          <w:rFonts w:ascii="Times New Roman" w:hAnsi="Times New Roman"/>
          <w:sz w:val="20"/>
          <w:lang w:val="en-GB"/>
        </w:rPr>
        <w:t>In-band/ out-of-band blocking</w:t>
      </w:r>
    </w:p>
    <w:p w14:paraId="6F0B4B6F" w14:textId="320142AD" w:rsidR="00240933" w:rsidRDefault="00240933" w:rsidP="006A2E8F">
      <w:pPr>
        <w:pStyle w:val="aff6"/>
        <w:numPr>
          <w:ilvl w:val="1"/>
          <w:numId w:val="69"/>
        </w:numPr>
        <w:ind w:firstLineChars="0"/>
        <w:rPr>
          <w:rFonts w:ascii="Times New Roman" w:hAnsi="Times New Roman"/>
          <w:sz w:val="20"/>
          <w:lang w:val="en-GB"/>
        </w:rPr>
      </w:pPr>
      <w:r>
        <w:rPr>
          <w:rFonts w:ascii="Times New Roman" w:hAnsi="Times New Roman"/>
          <w:sz w:val="20"/>
          <w:lang w:val="en-GB"/>
        </w:rPr>
        <w:t>Spurious response</w:t>
      </w:r>
    </w:p>
    <w:p w14:paraId="62FEFE73" w14:textId="59F617F1" w:rsidR="00240933" w:rsidRPr="006A2E8F" w:rsidRDefault="00240933" w:rsidP="00240933">
      <w:pPr>
        <w:pStyle w:val="aff6"/>
        <w:numPr>
          <w:ilvl w:val="1"/>
          <w:numId w:val="69"/>
        </w:numPr>
        <w:ind w:firstLineChars="0"/>
        <w:rPr>
          <w:rFonts w:ascii="Times New Roman" w:hAnsi="Times New Roman"/>
          <w:sz w:val="20"/>
          <w:lang w:val="en-GB"/>
        </w:rPr>
      </w:pPr>
      <w:r w:rsidRPr="00240933">
        <w:rPr>
          <w:rFonts w:ascii="Times New Roman" w:hAnsi="Times New Roman"/>
          <w:sz w:val="20"/>
          <w:lang w:val="en-GB"/>
        </w:rPr>
        <w:t>Wide band Intermodulation</w:t>
      </w:r>
    </w:p>
    <w:p w14:paraId="4B8608F0" w14:textId="53A1D816" w:rsidR="00532A77" w:rsidRPr="00532A77" w:rsidRDefault="00532A77" w:rsidP="005A6A77">
      <w:pPr>
        <w:pStyle w:val="ad"/>
        <w:snapToGrid w:val="0"/>
        <w:spacing w:before="0" w:after="0" w:line="240" w:lineRule="auto"/>
        <w:rPr>
          <w:b w:val="0"/>
        </w:rPr>
      </w:pPr>
      <w:bookmarkStart w:id="3" w:name="_Ref162972307"/>
      <w:r w:rsidRPr="00532A77">
        <w:rPr>
          <w:b w:val="0"/>
        </w:rPr>
        <w:t xml:space="preserve">The description </w:t>
      </w:r>
      <w:r>
        <w:rPr>
          <w:b w:val="0"/>
        </w:rPr>
        <w:t>in the spec</w:t>
      </w:r>
      <w:r w:rsidR="00240933">
        <w:rPr>
          <w:b w:val="0"/>
        </w:rPr>
        <w:t xml:space="preserve">ification should be updated from that only for contiguous </w:t>
      </w:r>
      <w:r w:rsidR="00C6550E">
        <w:rPr>
          <w:b w:val="0"/>
        </w:rPr>
        <w:t xml:space="preserve">intra-band </w:t>
      </w:r>
      <w:r w:rsidR="00240933">
        <w:rPr>
          <w:b w:val="0"/>
        </w:rPr>
        <w:t xml:space="preserve">SL CA to also accommodate </w:t>
      </w:r>
      <w:r w:rsidR="003D14B0">
        <w:rPr>
          <w:b w:val="0"/>
        </w:rPr>
        <w:t>the requirements for non-contiguous intra-band SL CA.</w:t>
      </w:r>
    </w:p>
    <w:p w14:paraId="5F1DBF59" w14:textId="77777777" w:rsidR="00532A77" w:rsidRPr="00532A77" w:rsidRDefault="00532A77" w:rsidP="00532A77"/>
    <w:p w14:paraId="185AD78E" w14:textId="3B82CA3D" w:rsidR="005A6A77" w:rsidRPr="005A6A77" w:rsidRDefault="005A6A77" w:rsidP="005A6A77">
      <w:pPr>
        <w:pStyle w:val="ad"/>
        <w:snapToGrid w:val="0"/>
        <w:spacing w:before="0" w:after="0" w:line="240" w:lineRule="auto"/>
        <w:rPr>
          <w:i/>
          <w:sz w:val="20"/>
        </w:rPr>
      </w:pPr>
      <w:r w:rsidRPr="005A6A77">
        <w:rPr>
          <w:i/>
        </w:rPr>
        <w:t xml:space="preserve">Proposal </w:t>
      </w:r>
      <w:r w:rsidRPr="005A6A77">
        <w:rPr>
          <w:i/>
        </w:rPr>
        <w:fldChar w:fldCharType="begin"/>
      </w:r>
      <w:r w:rsidRPr="005A6A77">
        <w:rPr>
          <w:i/>
        </w:rPr>
        <w:instrText xml:space="preserve"> SEQ Proposal \* ARABIC </w:instrText>
      </w:r>
      <w:r w:rsidRPr="005A6A77">
        <w:rPr>
          <w:i/>
        </w:rPr>
        <w:fldChar w:fldCharType="separate"/>
      </w:r>
      <w:r w:rsidR="00EB1439">
        <w:rPr>
          <w:i/>
          <w:noProof/>
        </w:rPr>
        <w:t>1</w:t>
      </w:r>
      <w:r w:rsidRPr="005A6A77">
        <w:rPr>
          <w:i/>
        </w:rPr>
        <w:fldChar w:fldCharType="end"/>
      </w:r>
      <w:r w:rsidRPr="005A6A77">
        <w:rPr>
          <w:i/>
        </w:rPr>
        <w:t xml:space="preserve">: </w:t>
      </w:r>
      <w:bookmarkEnd w:id="3"/>
      <w:r w:rsidR="001545F1" w:rsidRPr="001545F1">
        <w:rPr>
          <w:i/>
          <w:sz w:val="20"/>
        </w:rPr>
        <w:t xml:space="preserve">The description </w:t>
      </w:r>
      <w:r w:rsidR="001545F1">
        <w:rPr>
          <w:i/>
          <w:sz w:val="20"/>
        </w:rPr>
        <w:t xml:space="preserve">of the following Rx requirements </w:t>
      </w:r>
      <w:r w:rsidR="001545F1" w:rsidRPr="001545F1">
        <w:rPr>
          <w:i/>
          <w:sz w:val="20"/>
        </w:rPr>
        <w:t>in the specification should be updated from that only for contiguous intra-band SL CA to also accommodate the requirements for non-contiguous intra-band SL CA</w:t>
      </w:r>
    </w:p>
    <w:p w14:paraId="0BDF27BA" w14:textId="77777777" w:rsidR="004160CB" w:rsidRPr="004160CB" w:rsidRDefault="004160CB" w:rsidP="004160CB">
      <w:pPr>
        <w:pStyle w:val="aff6"/>
        <w:numPr>
          <w:ilvl w:val="0"/>
          <w:numId w:val="69"/>
        </w:numPr>
        <w:ind w:firstLineChars="0"/>
        <w:rPr>
          <w:rFonts w:ascii="Times New Roman" w:hAnsi="Times New Roman"/>
          <w:b/>
          <w:i/>
          <w:sz w:val="20"/>
          <w:lang w:val="en-GB"/>
        </w:rPr>
      </w:pPr>
      <w:r w:rsidRPr="004160CB">
        <w:rPr>
          <w:rFonts w:ascii="Times New Roman" w:hAnsi="Times New Roman"/>
          <w:b/>
          <w:i/>
          <w:sz w:val="20"/>
          <w:lang w:val="en-GB"/>
        </w:rPr>
        <w:t>REFSENS</w:t>
      </w:r>
    </w:p>
    <w:p w14:paraId="0B03BFEC" w14:textId="77777777" w:rsidR="004160CB" w:rsidRPr="004160CB" w:rsidRDefault="004160CB" w:rsidP="004160CB">
      <w:pPr>
        <w:pStyle w:val="aff6"/>
        <w:numPr>
          <w:ilvl w:val="0"/>
          <w:numId w:val="69"/>
        </w:numPr>
        <w:ind w:firstLineChars="0"/>
        <w:rPr>
          <w:rFonts w:ascii="Times New Roman" w:hAnsi="Times New Roman"/>
          <w:b/>
          <w:i/>
          <w:sz w:val="20"/>
          <w:lang w:val="en-GB"/>
        </w:rPr>
      </w:pPr>
      <w:r w:rsidRPr="004160CB">
        <w:rPr>
          <w:rFonts w:ascii="Times New Roman" w:hAnsi="Times New Roman"/>
          <w:b/>
          <w:i/>
          <w:sz w:val="20"/>
          <w:lang w:val="en-GB"/>
        </w:rPr>
        <w:lastRenderedPageBreak/>
        <w:t>Maximum input level,</w:t>
      </w:r>
    </w:p>
    <w:p w14:paraId="29E680CD" w14:textId="77777777" w:rsidR="004160CB" w:rsidRPr="004160CB" w:rsidRDefault="004160CB" w:rsidP="004160CB">
      <w:pPr>
        <w:pStyle w:val="aff6"/>
        <w:numPr>
          <w:ilvl w:val="0"/>
          <w:numId w:val="69"/>
        </w:numPr>
        <w:ind w:firstLineChars="0"/>
        <w:rPr>
          <w:rFonts w:ascii="Times New Roman" w:hAnsi="Times New Roman"/>
          <w:b/>
          <w:i/>
          <w:sz w:val="20"/>
          <w:lang w:val="en-GB"/>
        </w:rPr>
      </w:pPr>
      <w:r w:rsidRPr="004160CB">
        <w:rPr>
          <w:rFonts w:ascii="Times New Roman" w:hAnsi="Times New Roman"/>
          <w:b/>
          <w:i/>
          <w:sz w:val="20"/>
          <w:lang w:val="en-GB"/>
        </w:rPr>
        <w:t>ACS locking</w:t>
      </w:r>
    </w:p>
    <w:p w14:paraId="0AE7F791" w14:textId="77777777" w:rsidR="004160CB" w:rsidRPr="004160CB" w:rsidRDefault="004160CB" w:rsidP="004160CB">
      <w:pPr>
        <w:pStyle w:val="aff6"/>
        <w:numPr>
          <w:ilvl w:val="0"/>
          <w:numId w:val="69"/>
        </w:numPr>
        <w:ind w:firstLineChars="0"/>
        <w:rPr>
          <w:rFonts w:ascii="Times New Roman" w:hAnsi="Times New Roman"/>
          <w:b/>
          <w:i/>
          <w:sz w:val="20"/>
          <w:lang w:val="en-GB"/>
        </w:rPr>
      </w:pPr>
      <w:r w:rsidRPr="004160CB">
        <w:rPr>
          <w:rFonts w:ascii="Times New Roman" w:hAnsi="Times New Roman"/>
          <w:b/>
          <w:i/>
          <w:sz w:val="20"/>
          <w:lang w:val="en-GB"/>
        </w:rPr>
        <w:t>In-band/ out-of-band blocking</w:t>
      </w:r>
    </w:p>
    <w:p w14:paraId="001126E8" w14:textId="77777777" w:rsidR="004160CB" w:rsidRPr="004160CB" w:rsidRDefault="004160CB" w:rsidP="004160CB">
      <w:pPr>
        <w:pStyle w:val="aff6"/>
        <w:numPr>
          <w:ilvl w:val="0"/>
          <w:numId w:val="69"/>
        </w:numPr>
        <w:ind w:firstLineChars="0"/>
        <w:rPr>
          <w:rFonts w:ascii="Times New Roman" w:hAnsi="Times New Roman"/>
          <w:b/>
          <w:i/>
          <w:sz w:val="20"/>
          <w:lang w:val="en-GB"/>
        </w:rPr>
      </w:pPr>
      <w:r w:rsidRPr="004160CB">
        <w:rPr>
          <w:rFonts w:ascii="Times New Roman" w:hAnsi="Times New Roman"/>
          <w:b/>
          <w:i/>
          <w:sz w:val="20"/>
          <w:lang w:val="en-GB"/>
        </w:rPr>
        <w:t>Spurious response</w:t>
      </w:r>
    </w:p>
    <w:p w14:paraId="2D0E52B9" w14:textId="77777777" w:rsidR="004160CB" w:rsidRPr="004160CB" w:rsidRDefault="004160CB" w:rsidP="004160CB">
      <w:pPr>
        <w:pStyle w:val="aff6"/>
        <w:numPr>
          <w:ilvl w:val="0"/>
          <w:numId w:val="69"/>
        </w:numPr>
        <w:ind w:firstLineChars="0"/>
        <w:rPr>
          <w:rFonts w:ascii="Times New Roman" w:hAnsi="Times New Roman"/>
          <w:b/>
          <w:i/>
          <w:sz w:val="20"/>
          <w:lang w:val="en-GB"/>
        </w:rPr>
      </w:pPr>
      <w:r w:rsidRPr="004160CB">
        <w:rPr>
          <w:rFonts w:ascii="Times New Roman" w:hAnsi="Times New Roman"/>
          <w:b/>
          <w:i/>
          <w:sz w:val="20"/>
          <w:lang w:val="en-GB"/>
        </w:rPr>
        <w:t>Wide band Intermodulation</w:t>
      </w:r>
    </w:p>
    <w:p w14:paraId="174B9998" w14:textId="77777777" w:rsidR="00A33E8E" w:rsidRDefault="00A33E8E" w:rsidP="0037575E">
      <w:pPr>
        <w:pStyle w:val="1"/>
        <w:spacing w:after="240"/>
        <w:jc w:val="both"/>
        <w:rPr>
          <w:rFonts w:eastAsia="宋体"/>
          <w:lang w:eastAsia="zh-CN"/>
        </w:rPr>
      </w:pPr>
      <w:r>
        <w:rPr>
          <w:rFonts w:eastAsia="宋体" w:hint="eastAsia"/>
          <w:lang w:eastAsia="zh-CN"/>
        </w:rPr>
        <w:t>Conclusion</w:t>
      </w:r>
    </w:p>
    <w:p w14:paraId="4A5029C5" w14:textId="26A5A838" w:rsidR="00FC30F5" w:rsidRDefault="005369EE" w:rsidP="009D5BFF">
      <w:pPr>
        <w:snapToGrid w:val="0"/>
        <w:spacing w:after="0"/>
      </w:pPr>
      <w:r>
        <w:t xml:space="preserve">This contribution provides </w:t>
      </w:r>
      <w:r w:rsidR="00D554FD">
        <w:t xml:space="preserve">our </w:t>
      </w:r>
      <w:r w:rsidR="00D554FD" w:rsidRPr="00D554FD">
        <w:t xml:space="preserve">consideration and initial analysis on </w:t>
      </w:r>
      <w:r w:rsidR="009D5BFF" w:rsidRPr="00EA4922">
        <w:rPr>
          <w:sz w:val="20"/>
        </w:rPr>
        <w:t xml:space="preserve">RAN4 work </w:t>
      </w:r>
      <w:r w:rsidR="009D5BFF">
        <w:rPr>
          <w:sz w:val="20"/>
        </w:rPr>
        <w:t xml:space="preserve">on </w:t>
      </w:r>
      <w:r w:rsidR="009D5BFF" w:rsidRPr="009A67B2">
        <w:rPr>
          <w:sz w:val="20"/>
        </w:rPr>
        <w:t xml:space="preserve">Rx requirements </w:t>
      </w:r>
      <w:r w:rsidR="009D5BFF" w:rsidRPr="00EA4922">
        <w:rPr>
          <w:sz w:val="20"/>
        </w:rPr>
        <w:t xml:space="preserve">for </w:t>
      </w:r>
      <w:r w:rsidR="009D5BFF">
        <w:rPr>
          <w:sz w:val="20"/>
        </w:rPr>
        <w:t xml:space="preserve">NR </w:t>
      </w:r>
      <w:proofErr w:type="spellStart"/>
      <w:r w:rsidR="009D5BFF">
        <w:rPr>
          <w:sz w:val="20"/>
        </w:rPr>
        <w:t>sidelink</w:t>
      </w:r>
      <w:proofErr w:type="spellEnd"/>
      <w:r w:rsidR="009D5BFF">
        <w:rPr>
          <w:sz w:val="20"/>
        </w:rPr>
        <w:t xml:space="preserve"> i</w:t>
      </w:r>
      <w:r w:rsidR="009D5BFF" w:rsidRPr="00E45C10">
        <w:rPr>
          <w:sz w:val="20"/>
        </w:rPr>
        <w:t xml:space="preserve">ntra-band </w:t>
      </w:r>
      <w:r w:rsidR="009D5BFF">
        <w:rPr>
          <w:sz w:val="20"/>
        </w:rPr>
        <w:t>non-</w:t>
      </w:r>
      <w:r w:rsidR="009D5BFF" w:rsidRPr="00E45C10">
        <w:rPr>
          <w:sz w:val="20"/>
        </w:rPr>
        <w:t xml:space="preserve">contiguous CA with </w:t>
      </w:r>
      <w:r w:rsidR="009D5BFF">
        <w:rPr>
          <w:sz w:val="20"/>
        </w:rPr>
        <w:t xml:space="preserve">power class 3 and </w:t>
      </w:r>
      <w:r w:rsidR="009D5BFF" w:rsidRPr="00E45C10">
        <w:rPr>
          <w:sz w:val="20"/>
        </w:rPr>
        <w:t>power class 2</w:t>
      </w:r>
      <w:r w:rsidR="009D5BFF">
        <w:rPr>
          <w:sz w:val="20"/>
        </w:rPr>
        <w:t xml:space="preserve"> </w:t>
      </w:r>
      <w:r w:rsidR="00B9662A">
        <w:t xml:space="preserve">with the following </w:t>
      </w:r>
      <w:r w:rsidR="009D5BFF">
        <w:t>and proposal</w:t>
      </w:r>
      <w:r w:rsidR="00D554FD">
        <w:t>:</w:t>
      </w:r>
    </w:p>
    <w:p w14:paraId="090131F6" w14:textId="77777777" w:rsidR="009D5BFF" w:rsidRPr="005A6A77" w:rsidRDefault="009D5BFF" w:rsidP="009D5BFF">
      <w:pPr>
        <w:pStyle w:val="ad"/>
        <w:snapToGrid w:val="0"/>
        <w:spacing w:before="0" w:after="0" w:line="240" w:lineRule="auto"/>
        <w:rPr>
          <w:i/>
          <w:sz w:val="20"/>
        </w:rPr>
      </w:pPr>
      <w:r w:rsidRPr="005A6A77">
        <w:rPr>
          <w:i/>
        </w:rPr>
        <w:t xml:space="preserve">Proposal </w:t>
      </w:r>
      <w:r w:rsidRPr="005A6A77">
        <w:rPr>
          <w:i/>
        </w:rPr>
        <w:fldChar w:fldCharType="begin"/>
      </w:r>
      <w:r w:rsidRPr="005A6A77">
        <w:rPr>
          <w:i/>
        </w:rPr>
        <w:instrText xml:space="preserve"> SEQ Proposal \* ARABIC </w:instrText>
      </w:r>
      <w:r w:rsidRPr="005A6A77">
        <w:rPr>
          <w:i/>
        </w:rPr>
        <w:fldChar w:fldCharType="separate"/>
      </w:r>
      <w:r>
        <w:rPr>
          <w:i/>
          <w:noProof/>
        </w:rPr>
        <w:t>1</w:t>
      </w:r>
      <w:r w:rsidRPr="005A6A77">
        <w:rPr>
          <w:i/>
        </w:rPr>
        <w:fldChar w:fldCharType="end"/>
      </w:r>
      <w:r w:rsidRPr="005A6A77">
        <w:rPr>
          <w:i/>
        </w:rPr>
        <w:t xml:space="preserve">: </w:t>
      </w:r>
      <w:r w:rsidRPr="001545F1">
        <w:rPr>
          <w:i/>
          <w:sz w:val="20"/>
        </w:rPr>
        <w:t xml:space="preserve">The description </w:t>
      </w:r>
      <w:r>
        <w:rPr>
          <w:i/>
          <w:sz w:val="20"/>
        </w:rPr>
        <w:t xml:space="preserve">of the following Rx requirements </w:t>
      </w:r>
      <w:r w:rsidRPr="001545F1">
        <w:rPr>
          <w:i/>
          <w:sz w:val="20"/>
        </w:rPr>
        <w:t>in the specification should be updated from that only for contiguous intra-band SL CA to also accommodate the requirements for non-contiguous intra-band SL CA</w:t>
      </w:r>
    </w:p>
    <w:p w14:paraId="0DE64CEA" w14:textId="77777777" w:rsidR="009D5BFF" w:rsidRPr="004160CB" w:rsidRDefault="009D5BFF" w:rsidP="009D5BFF">
      <w:pPr>
        <w:pStyle w:val="aff6"/>
        <w:numPr>
          <w:ilvl w:val="0"/>
          <w:numId w:val="69"/>
        </w:numPr>
        <w:ind w:firstLineChars="0"/>
        <w:rPr>
          <w:rFonts w:ascii="Times New Roman" w:hAnsi="Times New Roman"/>
          <w:b/>
          <w:i/>
          <w:sz w:val="20"/>
          <w:lang w:val="en-GB"/>
        </w:rPr>
      </w:pPr>
      <w:r w:rsidRPr="004160CB">
        <w:rPr>
          <w:rFonts w:ascii="Times New Roman" w:hAnsi="Times New Roman"/>
          <w:b/>
          <w:i/>
          <w:sz w:val="20"/>
          <w:lang w:val="en-GB"/>
        </w:rPr>
        <w:t>REFSENS</w:t>
      </w:r>
    </w:p>
    <w:p w14:paraId="5721565E" w14:textId="77777777" w:rsidR="009D5BFF" w:rsidRPr="004160CB" w:rsidRDefault="009D5BFF" w:rsidP="009D5BFF">
      <w:pPr>
        <w:pStyle w:val="aff6"/>
        <w:numPr>
          <w:ilvl w:val="0"/>
          <w:numId w:val="69"/>
        </w:numPr>
        <w:ind w:firstLineChars="0"/>
        <w:rPr>
          <w:rFonts w:ascii="Times New Roman" w:hAnsi="Times New Roman"/>
          <w:b/>
          <w:i/>
          <w:sz w:val="20"/>
          <w:lang w:val="en-GB"/>
        </w:rPr>
      </w:pPr>
      <w:r w:rsidRPr="004160CB">
        <w:rPr>
          <w:rFonts w:ascii="Times New Roman" w:hAnsi="Times New Roman"/>
          <w:b/>
          <w:i/>
          <w:sz w:val="20"/>
          <w:lang w:val="en-GB"/>
        </w:rPr>
        <w:t>Maximum input level,</w:t>
      </w:r>
    </w:p>
    <w:p w14:paraId="34FB382E" w14:textId="77777777" w:rsidR="009D5BFF" w:rsidRPr="004160CB" w:rsidRDefault="009D5BFF" w:rsidP="009D5BFF">
      <w:pPr>
        <w:pStyle w:val="aff6"/>
        <w:numPr>
          <w:ilvl w:val="0"/>
          <w:numId w:val="69"/>
        </w:numPr>
        <w:ind w:firstLineChars="0"/>
        <w:rPr>
          <w:rFonts w:ascii="Times New Roman" w:hAnsi="Times New Roman"/>
          <w:b/>
          <w:i/>
          <w:sz w:val="20"/>
          <w:lang w:val="en-GB"/>
        </w:rPr>
      </w:pPr>
      <w:r w:rsidRPr="004160CB">
        <w:rPr>
          <w:rFonts w:ascii="Times New Roman" w:hAnsi="Times New Roman"/>
          <w:b/>
          <w:i/>
          <w:sz w:val="20"/>
          <w:lang w:val="en-GB"/>
        </w:rPr>
        <w:t>ACS locking</w:t>
      </w:r>
    </w:p>
    <w:p w14:paraId="24A702FF" w14:textId="77777777" w:rsidR="009D5BFF" w:rsidRPr="004160CB" w:rsidRDefault="009D5BFF" w:rsidP="009D5BFF">
      <w:pPr>
        <w:pStyle w:val="aff6"/>
        <w:numPr>
          <w:ilvl w:val="0"/>
          <w:numId w:val="69"/>
        </w:numPr>
        <w:ind w:firstLineChars="0"/>
        <w:rPr>
          <w:rFonts w:ascii="Times New Roman" w:hAnsi="Times New Roman"/>
          <w:b/>
          <w:i/>
          <w:sz w:val="20"/>
          <w:lang w:val="en-GB"/>
        </w:rPr>
      </w:pPr>
      <w:r w:rsidRPr="004160CB">
        <w:rPr>
          <w:rFonts w:ascii="Times New Roman" w:hAnsi="Times New Roman"/>
          <w:b/>
          <w:i/>
          <w:sz w:val="20"/>
          <w:lang w:val="en-GB"/>
        </w:rPr>
        <w:t>In-band/ out-of-band blocking</w:t>
      </w:r>
    </w:p>
    <w:p w14:paraId="362AB2A6" w14:textId="77777777" w:rsidR="009D5BFF" w:rsidRPr="004160CB" w:rsidRDefault="009D5BFF" w:rsidP="009D5BFF">
      <w:pPr>
        <w:pStyle w:val="aff6"/>
        <w:numPr>
          <w:ilvl w:val="0"/>
          <w:numId w:val="69"/>
        </w:numPr>
        <w:ind w:firstLineChars="0"/>
        <w:rPr>
          <w:rFonts w:ascii="Times New Roman" w:hAnsi="Times New Roman"/>
          <w:b/>
          <w:i/>
          <w:sz w:val="20"/>
          <w:lang w:val="en-GB"/>
        </w:rPr>
      </w:pPr>
      <w:r w:rsidRPr="004160CB">
        <w:rPr>
          <w:rFonts w:ascii="Times New Roman" w:hAnsi="Times New Roman"/>
          <w:b/>
          <w:i/>
          <w:sz w:val="20"/>
          <w:lang w:val="en-GB"/>
        </w:rPr>
        <w:t>Spurious response</w:t>
      </w:r>
    </w:p>
    <w:p w14:paraId="1F14651F" w14:textId="77777777" w:rsidR="009D5BFF" w:rsidRPr="004160CB" w:rsidRDefault="009D5BFF" w:rsidP="009D5BFF">
      <w:pPr>
        <w:pStyle w:val="aff6"/>
        <w:numPr>
          <w:ilvl w:val="0"/>
          <w:numId w:val="69"/>
        </w:numPr>
        <w:ind w:firstLineChars="0"/>
        <w:rPr>
          <w:rFonts w:ascii="Times New Roman" w:hAnsi="Times New Roman"/>
          <w:b/>
          <w:i/>
          <w:sz w:val="20"/>
          <w:lang w:val="en-GB"/>
        </w:rPr>
      </w:pPr>
      <w:r w:rsidRPr="004160CB">
        <w:rPr>
          <w:rFonts w:ascii="Times New Roman" w:hAnsi="Times New Roman"/>
          <w:b/>
          <w:i/>
          <w:sz w:val="20"/>
          <w:lang w:val="en-GB"/>
        </w:rPr>
        <w:t>Wide band Intermodulation</w:t>
      </w:r>
    </w:p>
    <w:p w14:paraId="1973A0A5" w14:textId="77777777" w:rsidR="00B22DA6" w:rsidRDefault="00B22DA6" w:rsidP="0037575E">
      <w:pPr>
        <w:pStyle w:val="1"/>
        <w:numPr>
          <w:ilvl w:val="0"/>
          <w:numId w:val="0"/>
        </w:numPr>
        <w:jc w:val="both"/>
        <w:rPr>
          <w:rFonts w:eastAsia="宋体"/>
          <w:lang w:eastAsia="zh-CN"/>
        </w:rPr>
      </w:pPr>
      <w:r>
        <w:t>References</w:t>
      </w:r>
    </w:p>
    <w:p w14:paraId="1A0A5609" w14:textId="4FFD896B" w:rsidR="00EF48A7" w:rsidRDefault="0035262B" w:rsidP="002E78D1">
      <w:pPr>
        <w:snapToGrid w:val="0"/>
        <w:spacing w:after="120"/>
        <w:jc w:val="both"/>
        <w:rPr>
          <w:sz w:val="20"/>
        </w:rPr>
      </w:pPr>
      <w:r w:rsidRPr="00A530D3">
        <w:rPr>
          <w:rFonts w:hint="eastAsia"/>
          <w:sz w:val="20"/>
        </w:rPr>
        <w:t>[1]</w:t>
      </w:r>
      <w:r w:rsidR="005369EE" w:rsidRPr="00A530D3">
        <w:rPr>
          <w:sz w:val="20"/>
        </w:rPr>
        <w:t xml:space="preserve"> </w:t>
      </w:r>
      <w:r w:rsidR="00EA08C1" w:rsidRPr="00EA08C1">
        <w:rPr>
          <w:sz w:val="20"/>
        </w:rPr>
        <w:t>RP-240840</w:t>
      </w:r>
      <w:r w:rsidR="00FF72C5" w:rsidRPr="00A530D3">
        <w:rPr>
          <w:sz w:val="20"/>
        </w:rPr>
        <w:t xml:space="preserve"> </w:t>
      </w:r>
      <w:r w:rsidR="00EA08C1" w:rsidRPr="00EA08C1">
        <w:rPr>
          <w:sz w:val="20"/>
        </w:rPr>
        <w:t xml:space="preserve">New WID on NR </w:t>
      </w:r>
      <w:proofErr w:type="spellStart"/>
      <w:r w:rsidR="00EA08C1" w:rsidRPr="00EA08C1">
        <w:rPr>
          <w:sz w:val="20"/>
        </w:rPr>
        <w:t>Sidelink</w:t>
      </w:r>
      <w:proofErr w:type="spellEnd"/>
      <w:r w:rsidR="00EA08C1" w:rsidRPr="00EA08C1">
        <w:rPr>
          <w:sz w:val="20"/>
        </w:rPr>
        <w:t>: Intra-band Carrier Aggregation in ITS band</w:t>
      </w:r>
    </w:p>
    <w:p w14:paraId="6DC8A5F3" w14:textId="77777777" w:rsidR="000A59F6" w:rsidRPr="00A530D3" w:rsidRDefault="000A59F6" w:rsidP="002E78D1">
      <w:pPr>
        <w:snapToGrid w:val="0"/>
        <w:spacing w:after="120"/>
        <w:jc w:val="both"/>
        <w:rPr>
          <w:sz w:val="20"/>
          <w:lang w:eastAsia="ja-JP"/>
        </w:rPr>
      </w:pPr>
    </w:p>
    <w:p w14:paraId="7EE3D162" w14:textId="77777777" w:rsidR="004E5F95" w:rsidRDefault="004E5F95" w:rsidP="0037575E">
      <w:pPr>
        <w:jc w:val="both"/>
        <w:rPr>
          <w:rFonts w:eastAsia="MS Mincho"/>
          <w:lang w:eastAsia="ja-JP"/>
        </w:rPr>
      </w:pPr>
    </w:p>
    <w:sectPr w:rsidR="004E5F9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66870" w14:textId="77777777" w:rsidR="00A842EA" w:rsidRDefault="00A842EA" w:rsidP="0052762B">
      <w:r>
        <w:separator/>
      </w:r>
    </w:p>
  </w:endnote>
  <w:endnote w:type="continuationSeparator" w:id="0">
    <w:p w14:paraId="0DCA37A4" w14:textId="77777777" w:rsidR="00A842EA" w:rsidRDefault="00A842E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6F413F" w:rsidRDefault="006F413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D7A92" w14:textId="77777777" w:rsidR="00A842EA" w:rsidRDefault="00A842EA" w:rsidP="0052762B">
      <w:r>
        <w:separator/>
      </w:r>
    </w:p>
  </w:footnote>
  <w:footnote w:type="continuationSeparator" w:id="0">
    <w:p w14:paraId="38DB0CC8" w14:textId="77777777" w:rsidR="00A842EA" w:rsidRDefault="00A842E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0C26BF"/>
    <w:multiLevelType w:val="hybridMultilevel"/>
    <w:tmpl w:val="60E0D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DCE2691"/>
    <w:multiLevelType w:val="hybridMultilevel"/>
    <w:tmpl w:val="64EAC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1"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7"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5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34"/>
  </w:num>
  <w:num w:numId="3">
    <w:abstractNumId w:val="41"/>
  </w:num>
  <w:num w:numId="4">
    <w:abstractNumId w:val="61"/>
  </w:num>
  <w:num w:numId="5">
    <w:abstractNumId w:val="1"/>
  </w:num>
  <w:num w:numId="6">
    <w:abstractNumId w:val="60"/>
  </w:num>
  <w:num w:numId="7">
    <w:abstractNumId w:val="27"/>
  </w:num>
  <w:num w:numId="8">
    <w:abstractNumId w:val="49"/>
  </w:num>
  <w:num w:numId="9">
    <w:abstractNumId w:val="64"/>
  </w:num>
  <w:num w:numId="10">
    <w:abstractNumId w:val="19"/>
  </w:num>
  <w:num w:numId="11">
    <w:abstractNumId w:val="13"/>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6"/>
  </w:num>
  <w:num w:numId="16">
    <w:abstractNumId w:val="13"/>
  </w:num>
  <w:num w:numId="17">
    <w:abstractNumId w:val="15"/>
  </w:num>
  <w:num w:numId="18">
    <w:abstractNumId w:val="30"/>
  </w:num>
  <w:num w:numId="19">
    <w:abstractNumId w:val="40"/>
  </w:num>
  <w:num w:numId="20">
    <w:abstractNumId w:val="38"/>
  </w:num>
  <w:num w:numId="21">
    <w:abstractNumId w:val="23"/>
  </w:num>
  <w:num w:numId="22">
    <w:abstractNumId w:val="9"/>
  </w:num>
  <w:num w:numId="23">
    <w:abstractNumId w:val="36"/>
  </w:num>
  <w:num w:numId="24">
    <w:abstractNumId w:val="59"/>
  </w:num>
  <w:num w:numId="25">
    <w:abstractNumId w:val="13"/>
  </w:num>
  <w:num w:numId="26">
    <w:abstractNumId w:val="58"/>
  </w:num>
  <w:num w:numId="27">
    <w:abstractNumId w:val="54"/>
  </w:num>
  <w:num w:numId="28">
    <w:abstractNumId w:val="28"/>
  </w:num>
  <w:num w:numId="29">
    <w:abstractNumId w:val="63"/>
  </w:num>
  <w:num w:numId="30">
    <w:abstractNumId w:val="42"/>
  </w:num>
  <w:num w:numId="31">
    <w:abstractNumId w:val="26"/>
  </w:num>
  <w:num w:numId="32">
    <w:abstractNumId w:val="50"/>
  </w:num>
  <w:num w:numId="33">
    <w:abstractNumId w:val="11"/>
  </w:num>
  <w:num w:numId="34">
    <w:abstractNumId w:val="14"/>
  </w:num>
  <w:num w:numId="35">
    <w:abstractNumId w:val="52"/>
  </w:num>
  <w:num w:numId="36">
    <w:abstractNumId w:val="29"/>
  </w:num>
  <w:num w:numId="37">
    <w:abstractNumId w:val="12"/>
  </w:num>
  <w:num w:numId="38">
    <w:abstractNumId w:val="45"/>
  </w:num>
  <w:num w:numId="39">
    <w:abstractNumId w:val="5"/>
  </w:num>
  <w:num w:numId="40">
    <w:abstractNumId w:val="39"/>
  </w:num>
  <w:num w:numId="41">
    <w:abstractNumId w:val="24"/>
  </w:num>
  <w:num w:numId="42">
    <w:abstractNumId w:val="20"/>
  </w:num>
  <w:num w:numId="43">
    <w:abstractNumId w:val="31"/>
  </w:num>
  <w:num w:numId="44">
    <w:abstractNumId w:val="53"/>
  </w:num>
  <w:num w:numId="45">
    <w:abstractNumId w:val="3"/>
  </w:num>
  <w:num w:numId="46">
    <w:abstractNumId w:val="44"/>
  </w:num>
  <w:num w:numId="47">
    <w:abstractNumId w:val="55"/>
  </w:num>
  <w:num w:numId="48">
    <w:abstractNumId w:val="17"/>
  </w:num>
  <w:num w:numId="49">
    <w:abstractNumId w:val="13"/>
  </w:num>
  <w:num w:numId="50">
    <w:abstractNumId w:val="13"/>
  </w:num>
  <w:num w:numId="51">
    <w:abstractNumId w:val="57"/>
  </w:num>
  <w:num w:numId="52">
    <w:abstractNumId w:val="48"/>
  </w:num>
  <w:num w:numId="53">
    <w:abstractNumId w:val="32"/>
  </w:num>
  <w:num w:numId="54">
    <w:abstractNumId w:val="51"/>
  </w:num>
  <w:num w:numId="55">
    <w:abstractNumId w:val="18"/>
  </w:num>
  <w:num w:numId="56">
    <w:abstractNumId w:val="21"/>
  </w:num>
  <w:num w:numId="57">
    <w:abstractNumId w:val="56"/>
  </w:num>
  <w:num w:numId="58">
    <w:abstractNumId w:val="35"/>
  </w:num>
  <w:num w:numId="59">
    <w:abstractNumId w:val="6"/>
  </w:num>
  <w:num w:numId="60">
    <w:abstractNumId w:val="37"/>
  </w:num>
  <w:num w:numId="61">
    <w:abstractNumId w:val="10"/>
  </w:num>
  <w:num w:numId="62">
    <w:abstractNumId w:val="22"/>
  </w:num>
  <w:num w:numId="63">
    <w:abstractNumId w:val="47"/>
  </w:num>
  <w:num w:numId="64">
    <w:abstractNumId w:val="4"/>
  </w:num>
  <w:num w:numId="65">
    <w:abstractNumId w:val="43"/>
  </w:num>
  <w:num w:numId="66">
    <w:abstractNumId w:val="7"/>
  </w:num>
  <w:num w:numId="67">
    <w:abstractNumId w:val="62"/>
  </w:num>
  <w:num w:numId="68">
    <w:abstractNumId w:val="33"/>
  </w:num>
  <w:num w:numId="69">
    <w:abstractNumId w:val="25"/>
  </w:num>
  <w:num w:numId="70">
    <w:abstractNumId w:val="4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43D7"/>
    <w:rsid w:val="000046FC"/>
    <w:rsid w:val="000052A1"/>
    <w:rsid w:val="000053CD"/>
    <w:rsid w:val="000059BB"/>
    <w:rsid w:val="000059D0"/>
    <w:rsid w:val="00005B0B"/>
    <w:rsid w:val="000063C5"/>
    <w:rsid w:val="0000649E"/>
    <w:rsid w:val="00006F04"/>
    <w:rsid w:val="000116BD"/>
    <w:rsid w:val="00011967"/>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12"/>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7D5"/>
    <w:rsid w:val="000E0B57"/>
    <w:rsid w:val="000E0DF1"/>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D72"/>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AE6"/>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5F1"/>
    <w:rsid w:val="00154797"/>
    <w:rsid w:val="0015524E"/>
    <w:rsid w:val="00155D37"/>
    <w:rsid w:val="00155DD7"/>
    <w:rsid w:val="00156475"/>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D4"/>
    <w:rsid w:val="00176AED"/>
    <w:rsid w:val="001779C0"/>
    <w:rsid w:val="00177C30"/>
    <w:rsid w:val="001804BE"/>
    <w:rsid w:val="00181AD5"/>
    <w:rsid w:val="00181E2D"/>
    <w:rsid w:val="001822D6"/>
    <w:rsid w:val="001824D1"/>
    <w:rsid w:val="00182D6C"/>
    <w:rsid w:val="0018314E"/>
    <w:rsid w:val="001838A1"/>
    <w:rsid w:val="00184134"/>
    <w:rsid w:val="001841B0"/>
    <w:rsid w:val="00185411"/>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97C99"/>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D1D"/>
    <w:rsid w:val="001E028D"/>
    <w:rsid w:val="001E0399"/>
    <w:rsid w:val="001E07FE"/>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933"/>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009"/>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B35"/>
    <w:rsid w:val="002B45AA"/>
    <w:rsid w:val="002B5B27"/>
    <w:rsid w:val="002B6135"/>
    <w:rsid w:val="002B6BCD"/>
    <w:rsid w:val="002B6C05"/>
    <w:rsid w:val="002B6DFD"/>
    <w:rsid w:val="002B6FAF"/>
    <w:rsid w:val="002B768E"/>
    <w:rsid w:val="002B7B57"/>
    <w:rsid w:val="002C01E3"/>
    <w:rsid w:val="002C0617"/>
    <w:rsid w:val="002C061F"/>
    <w:rsid w:val="002C0E26"/>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52C"/>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5FA"/>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4B0"/>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2FB"/>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0C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3F59"/>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412"/>
    <w:rsid w:val="004C7937"/>
    <w:rsid w:val="004C7F29"/>
    <w:rsid w:val="004C7F37"/>
    <w:rsid w:val="004D0BEA"/>
    <w:rsid w:val="004D0D39"/>
    <w:rsid w:val="004D124A"/>
    <w:rsid w:val="004D1781"/>
    <w:rsid w:val="004D1934"/>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3BD"/>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2A77"/>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B6F"/>
    <w:rsid w:val="00545F72"/>
    <w:rsid w:val="005468EB"/>
    <w:rsid w:val="00546DDE"/>
    <w:rsid w:val="0054729A"/>
    <w:rsid w:val="0054769B"/>
    <w:rsid w:val="00547B42"/>
    <w:rsid w:val="00547C2B"/>
    <w:rsid w:val="00547DFE"/>
    <w:rsid w:val="00547EBF"/>
    <w:rsid w:val="005502D9"/>
    <w:rsid w:val="00550583"/>
    <w:rsid w:val="00550A34"/>
    <w:rsid w:val="00550C47"/>
    <w:rsid w:val="00550E85"/>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6D7"/>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77"/>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1F89"/>
    <w:rsid w:val="006A25D8"/>
    <w:rsid w:val="006A2E8F"/>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6F09"/>
    <w:rsid w:val="006B7276"/>
    <w:rsid w:val="006B7742"/>
    <w:rsid w:val="006B77EA"/>
    <w:rsid w:val="006B7A88"/>
    <w:rsid w:val="006C0069"/>
    <w:rsid w:val="006C035F"/>
    <w:rsid w:val="006C13E4"/>
    <w:rsid w:val="006C146A"/>
    <w:rsid w:val="006C1704"/>
    <w:rsid w:val="006C251C"/>
    <w:rsid w:val="006C252A"/>
    <w:rsid w:val="006C2585"/>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23AC"/>
    <w:rsid w:val="00723314"/>
    <w:rsid w:val="007234C8"/>
    <w:rsid w:val="0072428F"/>
    <w:rsid w:val="007245B6"/>
    <w:rsid w:val="007245D5"/>
    <w:rsid w:val="007246E8"/>
    <w:rsid w:val="00724826"/>
    <w:rsid w:val="00724A11"/>
    <w:rsid w:val="00724D7B"/>
    <w:rsid w:val="007253BB"/>
    <w:rsid w:val="0072555F"/>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7ED"/>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3D98"/>
    <w:rsid w:val="00864689"/>
    <w:rsid w:val="00865E57"/>
    <w:rsid w:val="00865F3C"/>
    <w:rsid w:val="008666D1"/>
    <w:rsid w:val="008667B8"/>
    <w:rsid w:val="00867E17"/>
    <w:rsid w:val="00870A83"/>
    <w:rsid w:val="00870E11"/>
    <w:rsid w:val="00871644"/>
    <w:rsid w:val="00872029"/>
    <w:rsid w:val="0087220C"/>
    <w:rsid w:val="0087341B"/>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73"/>
    <w:rsid w:val="00904B1A"/>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3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CF9"/>
    <w:rsid w:val="00973F00"/>
    <w:rsid w:val="00973F19"/>
    <w:rsid w:val="00974092"/>
    <w:rsid w:val="00974E2C"/>
    <w:rsid w:val="009759B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0D"/>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67B2"/>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5BFF"/>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6E1B"/>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2E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8C4"/>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662A"/>
    <w:rsid w:val="00B973B5"/>
    <w:rsid w:val="00B97422"/>
    <w:rsid w:val="00B97592"/>
    <w:rsid w:val="00B97E17"/>
    <w:rsid w:val="00BA105E"/>
    <w:rsid w:val="00BA1DA6"/>
    <w:rsid w:val="00BA2190"/>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404"/>
    <w:rsid w:val="00BB5F3C"/>
    <w:rsid w:val="00BB70E7"/>
    <w:rsid w:val="00BB72C3"/>
    <w:rsid w:val="00BB7CEF"/>
    <w:rsid w:val="00BB7F9D"/>
    <w:rsid w:val="00BC059F"/>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2B"/>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C46"/>
    <w:rsid w:val="00C61411"/>
    <w:rsid w:val="00C6184D"/>
    <w:rsid w:val="00C61875"/>
    <w:rsid w:val="00C61E67"/>
    <w:rsid w:val="00C62217"/>
    <w:rsid w:val="00C62E8E"/>
    <w:rsid w:val="00C62FB4"/>
    <w:rsid w:val="00C63266"/>
    <w:rsid w:val="00C634B9"/>
    <w:rsid w:val="00C63AE3"/>
    <w:rsid w:val="00C64439"/>
    <w:rsid w:val="00C6550E"/>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48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F3"/>
    <w:rsid w:val="00DD7C2F"/>
    <w:rsid w:val="00DE06CD"/>
    <w:rsid w:val="00DE077B"/>
    <w:rsid w:val="00DE0CE6"/>
    <w:rsid w:val="00DE1458"/>
    <w:rsid w:val="00DE221F"/>
    <w:rsid w:val="00DE22A7"/>
    <w:rsid w:val="00DE2DD3"/>
    <w:rsid w:val="00DE2F8F"/>
    <w:rsid w:val="00DE3549"/>
    <w:rsid w:val="00DE39B6"/>
    <w:rsid w:val="00DE3BF3"/>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5C10"/>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A08"/>
    <w:rsid w:val="00E61EDA"/>
    <w:rsid w:val="00E62231"/>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047"/>
    <w:rsid w:val="00E72157"/>
    <w:rsid w:val="00E72324"/>
    <w:rsid w:val="00E72363"/>
    <w:rsid w:val="00E73464"/>
    <w:rsid w:val="00E74147"/>
    <w:rsid w:val="00E743E8"/>
    <w:rsid w:val="00E745CE"/>
    <w:rsid w:val="00E74DAD"/>
    <w:rsid w:val="00E75441"/>
    <w:rsid w:val="00E75788"/>
    <w:rsid w:val="00E757BD"/>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8C1"/>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74F"/>
    <w:rsid w:val="00EB0F30"/>
    <w:rsid w:val="00EB1248"/>
    <w:rsid w:val="00EB1439"/>
    <w:rsid w:val="00EB1BDB"/>
    <w:rsid w:val="00EB2706"/>
    <w:rsid w:val="00EB3148"/>
    <w:rsid w:val="00EB3663"/>
    <w:rsid w:val="00EB512D"/>
    <w:rsid w:val="00EB58C4"/>
    <w:rsid w:val="00EB58C7"/>
    <w:rsid w:val="00EB621B"/>
    <w:rsid w:val="00EB643B"/>
    <w:rsid w:val="00EB6D48"/>
    <w:rsid w:val="00EB6EA5"/>
    <w:rsid w:val="00EB73DA"/>
    <w:rsid w:val="00EC054E"/>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8A7"/>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943"/>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B8A"/>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9662A"/>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rsid w:val="00123224"/>
    <w:rPr>
      <w:rFonts w:eastAsia="宋体"/>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704513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BF0D0-8389-4BF2-8DA2-36863E81D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469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2024-05-13T02:42:00Z</dcterms:created>
  <dcterms:modified xsi:type="dcterms:W3CDTF">2024-05-13T02:42:00Z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(3)G2uKHU9mpOz+BWR+B1kHlwcZE/7Xvl0FO7BupMuGij6c+6E0YLT2oz0kctuOxMdrAyklUfjY
oSqNaGRYEa0CzgFpWUBu03+ZkKmaSIaxyadfncNgwDv6uaXitO1AjMBH/Gky5YZkH69yq3QZ
1nW1qx9KHo03f+k82Jg5A6vOcPetKoUpoEIQDz2NwpCB3KGdva0GiKiitgISRvRCfjFyM2ov
YrbtCqocj0H6/Frpjp</vt:lpwstr>
  </property>
  <property fmtid="{D5CDD505-2E9C-101B-9397-08002B2CF9AE}" pid="15" name="_2015_ms_pID_725343_00">
    <vt:lpwstr>_2015_ms_pID_725343</vt:lpwstr>
  </property>
  <property fmtid="{D5CDD505-2E9C-101B-9397-08002B2CF9AE}" pid="16" name="_2015_ms_pID_7253431">
    <vt:lpwstr>jjenOeeq8UlM0aHxhZgqLlJW2drJdJ39NScCqjpYf3RQVBG851HIao
WeXhPjsBf5dlxvLed3ac1Z+b5A1gNCucZLJqEoQCGpA5fP6AXLWSvLMgKGlktW/+lFefQ16E
2F3MDuym34unxW1VVxps/z4JxN2kpmgpyLrRUMx4yjzRDDmYpvCM9fDi+sCAndtlCmd5ApPq
WAspM1FtiyJ3XBi1V8BV4pPuD/SHgKDBeB8u</vt:lpwstr>
  </property>
  <property fmtid="{D5CDD505-2E9C-101B-9397-08002B2CF9AE}" pid="17" name="_2015_ms_pID_7253431_00">
    <vt:lpwstr>_2015_ms_pID_7253431</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1715346574</vt:lpwstr>
  </property>
</Properties>
</file>